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1" w:rsidRDefault="004023E1" w:rsidP="004023E1">
      <w:pPr>
        <w:widowControl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附件3</w:t>
      </w:r>
      <w:bookmarkStart w:id="0" w:name="_GoBack"/>
      <w:bookmarkEnd w:id="0"/>
    </w:p>
    <w:p w:rsidR="004023E1" w:rsidRDefault="004023E1" w:rsidP="004023E1">
      <w:pPr>
        <w:widowControl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《涉税服务相关法律》考试大纲</w:t>
      </w:r>
    </w:p>
    <w:p w:rsidR="004023E1" w:rsidRDefault="004023E1" w:rsidP="004023E1">
      <w:pPr>
        <w:widowControl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（2019年度）</w:t>
      </w:r>
    </w:p>
    <w:p w:rsidR="004023E1" w:rsidRDefault="004023E1" w:rsidP="004023E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本科目考试内容涉及2019年3月31日前颁布的相关法律法规及司法解释。</w:t>
      </w:r>
    </w:p>
    <w:p w:rsidR="004023E1" w:rsidRDefault="004023E1" w:rsidP="004023E1">
      <w:pPr>
        <w:spacing w:line="360" w:lineRule="auto"/>
        <w:ind w:firstLineChars="200" w:firstLine="600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2019年考试大纲取消了原大纲第四篇，将相关法律制度的程序法与实体法统一成篇，各篇的内容都有增加和删减。特别是民商法律制度和刑事法律制度所在篇的内容有所调整。在民商法部分主要增加了“婚姻家庭与继承法律制度”“电子商务法律制度”“社会保险法律制度”内容。在第三篇除增加“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监察法律制度</w:t>
      </w:r>
      <w:r>
        <w:rPr>
          <w:rFonts w:ascii="仿宋" w:eastAsia="仿宋" w:hAnsi="仿宋" w:cs="仿宋" w:hint="eastAsia"/>
          <w:kern w:val="0"/>
          <w:sz w:val="30"/>
          <w:szCs w:val="30"/>
        </w:rPr>
        <w:t>”外，在刑法部分增加了“贿赂犯罪”内容，在刑诉法部分删除了“证据”“死刑复核程序”“审判监督程序”内容，增加了“刑事审判”“速裁程序”“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缺席审判程序</w:t>
      </w:r>
      <w:r>
        <w:rPr>
          <w:rFonts w:ascii="仿宋" w:eastAsia="仿宋" w:hAnsi="仿宋" w:cs="仿宋" w:hint="eastAsia"/>
          <w:kern w:val="0"/>
          <w:sz w:val="30"/>
          <w:szCs w:val="30"/>
        </w:rPr>
        <w:t>”内容。</w:t>
      </w:r>
    </w:p>
    <w:p w:rsidR="004023E1" w:rsidRDefault="004023E1" w:rsidP="004023E1">
      <w:pPr>
        <w:widowControl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第一篇 行政法律制度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第一章 行政法基本内容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)了解行政法特征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(二)掌握行政法的基本原则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(三)熟悉行政法的渊源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(四)了解行政法律关系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二、行政主体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)熟悉行政主体的特征及行政职权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(二)掌握行政机关及其工作人员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(三)熟悉其他行使行政职权的组织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三、行政行为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)熟悉行政行为内容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(二)了解抽象行政行为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(三)掌握具体行政行为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(四)掌握行政行为程序与行政程序法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(五)了解行政事实行为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第二章 行政许可法律制度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一、行政许可法基础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)了解行政许可的分类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(二)熟悉行政许可的特征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(三)熟悉《行政许可法》的基本原则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二、行政许可的设定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)熟悉行政许可设定的有关程序制度及可设定事项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(二)掌握行政许可设定权划分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三、行政许可的实施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)熟悉行政许可实施主体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(二)掌握行政许可实施程序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(三)熟悉行政许可实施的期限规定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(四)熟悉行政许可实施的费用制度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四、行政许可的监督检查和法律责任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)了解行政许可监督检查制度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(二)掌握行政许可撤销和注销制度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(三)熟悉违反《行政许可法》的法律责任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第三章 行政处罚法律制度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一、行政处罚法基础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)了解行政处罚的特征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(二)熟悉行政处罚的基本原则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二、行政处罚的种类和设定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)熟悉行政处罚的种类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(二)掌握行政处罚的设定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三、行政处罚的实施主体、管辖及适用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)掌握行政处罚的实施主体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(二)掌握行政处罚的管辖和适用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四、行政处罚程序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)掌握行政处罚决定程序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(二)掌握行政处罚执行程序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(三)熟悉行政执法机关移送涉嫌犯罪案件程序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五、税务行政处罚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)熟悉税务行政处罚的种类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(二)熟悉税收违法行为及其处罚规定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(三)税务行政处罚裁量权行使规则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(四)掌握税务行政处罚听证程序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(五)税收违法案件审理程序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lastRenderedPageBreak/>
        <w:t>第四章 行政强制法律制度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一、行政强制法基础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)熟悉行政强制的种类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(二)掌握行政强制的基本原则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(三)掌握行政强制的设定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二、行政强制措施的实施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)掌握行政强制措施实施的一般规定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(二)掌握查封、扣押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(三)掌握冻结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三、行政强制执行的实施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)掌握行政强制执行实施的一般规定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(二)掌握金钱给付义务的执行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(三)了解代履行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(四)熟悉申请人民法院强制执行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四、违反《行政强制法》的法律责任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)熟悉行政机关违反《行政强制法》的法律责任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(二)熟悉金融机构违反《行政强制法》的法律责任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(三)了解人民法院违反《行政强制法》的法律责任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第五章 行政复议法律制度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一、行政复议法基础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)了解行政复议的特征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(二)熟悉行政复议的基本原则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二、行政复议受案范围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)掌握行政复议受案范围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(二)熟悉行政复议中的抽象行政行为审查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三、行政复议参加人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)掌握行政复议申请人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(二)掌握行政复议被申请人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(三)掌握行政复议第三人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四、行政复议机关及行政复议管辖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)了解行政复议机关的范围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(二)掌握行政复议管辖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五、行政复议程序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)掌握行政复议的申请和受理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(二)掌握行政复议的审理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(三)熟悉行政复议中止和终止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(四)掌握行政复议和解与调解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(五)掌握行政复议决定及其执行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六、税务行政复议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)了解税务行政复议的特征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(二)掌握税务行政复议的范围和管辖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(三)掌握税务行政复议申请人和被申请人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(四)掌握税务行政复议申请和受理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(五)掌握税务行政复议证据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(六)掌握税务行政复议审查和决定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(七)掌握税务行政复议和解与调解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第六章 行政诉讼法律制度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一、行政诉讼法基础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)了解行政诉讼的特征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(二)熟悉行政诉讼的基本原则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(三)掌握行政诉讼与行政复议的关系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二、行政诉讼受理范围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)了解受案范围的确定标准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(二)掌握行政诉讼受理案件的范围及不受理的案件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三、行政诉讼管辖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掌握行政诉讼管辖的种类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四、行政诉讼参加人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)掌握行政诉讼原告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(二)掌握行政诉讼被告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(三)掌握行政诉讼第三人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(四)掌握行政诉讼代表人和代理人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五、行政诉讼证据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)熟悉行政诉讼证据的种类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(二)掌握行政诉讼证据的收集、质证和审查认定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(三)掌握行政诉讼中的举证责任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六、行政诉讼程序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)掌握行政诉讼的起诉和受理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(二)掌握行政诉讼第一审程序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(三)掌握行政诉讼第二审程序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(四)了解行政诉讼审判监督程序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(五)掌握行政赔偿诉讼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七、行政诉讼的执行与非诉行政案件的执行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)了解行政诉讼的执行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(二)熟悉非诉行政案件的执行</w:t>
      </w:r>
    </w:p>
    <w:p w:rsidR="004023E1" w:rsidRDefault="004023E1" w:rsidP="004023E1">
      <w:pPr>
        <w:widowControl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第二篇 民商法律制度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第七章 民法基本内容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一、民法基础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)了解民法及其特征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(二)掌握民法的基本原则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(三)了解民事法律关系及其特征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(四)掌握民事法律关系的要素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(五)掌握民事法律事实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二、主体制度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)掌握自然人的民事权利能力和民事行为能力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(二)熟悉法人的特征、分类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(三)掌握法人的成立条件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(四)熟悉法人的权利能力和行为能力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三、权利制度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)掌握民事权利的分类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(二)掌握民事权利的变动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(三)熟悉民事权利的保护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四、行为制度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)掌握法律行为的特征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(二)掌握法律行为的分类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(三)熟悉法律行为的形式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(四)掌握法律行为的成立要件和生效要件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(五)掌握法律行为的效力形态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(六)掌握法律行为的条件附款和期限附款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(七)掌握代理的特征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(八)熟悉代理的分类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(九)掌握狭义无权代理和表见代理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五、时效制度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)了解诉讼时效的要素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(二)了解期间、期日适用范围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(三)掌握诉讼时效期间的类型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(四)掌握诉讼时效期间的起算、中止、中断和延长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第八章 物权法律制度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一、物权法基础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)熟悉物权的客体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(二)掌握物权的特征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(三)熟悉物权的分类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(四)掌握物权法的基本原则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(五)掌握物权的效力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(六)掌握物权的变动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二、所有权制度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)熟悉所有权的特征、权能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(二)掌握所有权的取得和消灭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(三)掌握按份共有和共同共有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(四)熟悉建筑物区分所有权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(五)熟悉相邻权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三、用益物权制度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)掌握用益物权的特征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(二)掌握各类用益物权的内容、效力及变动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四、担保物权制度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)掌握担保物权的特征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(二)掌握各类担保物权的内容、效力及变动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五、占有制度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)掌握占有的分类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(二)掌握占有的取得、变更与消灭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(三)掌握占有的效力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第九章 债权法律制度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债法基础</w:t>
      </w:r>
      <w:proofErr w:type="gramEnd"/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)掌握债的构成要素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(二)掌握债的发生原因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(三)熟悉债的分类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(四)掌握债的效力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(五)掌握债的保全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(六)掌握债的担保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(七)掌握债的移转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(八)掌握债的消灭原因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二、合同法律制度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)了解合同与合同法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(二)熟悉合同的分类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(三)掌握合同的订立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(四)掌握合同的效力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(五)掌握合同的变更和解除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(六)掌握合同的救济（违约责任）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(七)熟悉合同的主要类型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三、侵权法律制度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)了解侵权行为与侵权责任法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(二)掌握侵权责任的归责原则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(三)掌握侵权责任的构成要件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(四)掌握侵权责任的免责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和减责事由</w:t>
      </w:r>
      <w:proofErr w:type="gramEnd"/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(五)熟悉各类型侵权的构成要件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lastRenderedPageBreak/>
        <w:t>第十章 婚姻家庭与继承法律制度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一、婚姻家庭法律制度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)熟悉婚姻家庭法基础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(二)熟悉亲属制度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(三)掌握婚姻制度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(四)掌握家庭关系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二、继承法律制度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)熟悉继承法基础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(二)掌握法定继承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(三)掌握遗嘱继承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(四)掌握遗产的处理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第十一章 个人独资企业法律制度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一、个人独资企业法基础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)了解个人独资企业的特征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(二)熟悉个人独资企业与其他民事主体的区别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二、个人独资企业法的基本规则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)掌握个人独资企业的设立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(二)掌握个人独资企业的投资人及事务管理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(三)个人独资企业的解散和清算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第十二章 合伙企业法律制度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一、合伙企业法基础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)熟悉合伙企业的特征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(二)熟悉合伙企业的一般法律规则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二、合伙企业的种类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)掌握普通合伙企业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(二)掌握有限合伙企业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三、掌握合伙企业的解散与清算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)掌握合伙企业的解散</w:t>
      </w:r>
    </w:p>
    <w:p w:rsidR="004023E1" w:rsidRDefault="004023E1" w:rsidP="004023E1">
      <w:pPr>
        <w:widowControl/>
        <w:ind w:firstLine="527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(二)掌握合伙企业的清算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第十三章 公司法律制度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一、公司法基础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)了解公司类型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(二)了解公司能力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(三)熟悉公司章程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(四)掌握公司资本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(五)熟悉公司法人地位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二、公司设立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)掌握公司设立方式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(二)掌握公司设立条件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(三)掌握公司设立责任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三、公司股东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)掌握股东出资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(二)掌握股东权利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(三)掌握股东资格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(四)掌握股东诉讼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四、公司运行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)掌握公司组织机构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(二)熟悉公司特殊形式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(三)熟悉股权与股份转让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(四)掌握公司董事、经理、高级管理人员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(五)了解公司财务会计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(六)熟悉公司变更、解散与清算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第十四章 破产法律制度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一、破产法基础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kern w:val="0"/>
          <w:sz w:val="30"/>
          <w:szCs w:val="30"/>
        </w:rPr>
        <w:t>熟悉破产原因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(二)了解破产案件管辖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(三)了解破产管理人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二、破产申请与受理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)掌握破产案件申请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(二)熟悉破产申请的受理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三、债权申报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)掌握债权申报</w:t>
      </w:r>
    </w:p>
    <w:p w:rsidR="004023E1" w:rsidRDefault="004023E1" w:rsidP="004023E1">
      <w:pPr>
        <w:spacing w:line="360" w:lineRule="auto"/>
        <w:ind w:firstLineChars="250" w:firstLine="7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(二)熟悉债权人会议及债权人委员会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四、债务人财产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)掌握债务人财产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(二)掌握追回权取回权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抵销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权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五、重整与和解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)掌握重整程序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(二)熟悉和解程序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六、破产宣告与破产清算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)掌握破产宣告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(二)掌握破产清算</w:t>
      </w:r>
    </w:p>
    <w:p w:rsidR="004023E1" w:rsidRDefault="004023E1" w:rsidP="004023E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(三)了解破产终结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第十五章 电子商务法律制度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一、电子商务法基础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)了解电子商务法的特征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(二)熟悉我国电子商务法立法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二、电子商务主体法律制度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)掌握电子商务主体种类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(二)熟悉电子商务主体的认定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三、电子商务法几项基本制度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)掌握电子合同法律制度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(二)掌握电子签名和电子认证法律制度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(三)掌握电子支付法律制度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(四)电子商务税收法律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第十六章 社会保险法律制度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一、社会保险法基础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)了解社会保险法的特征和功能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(二)熟悉社会保险法的基本原则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(三)掌握社会保险法律关系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二、基本养老保险法律制度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)掌握职工基本养老保险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(二)掌握公务员和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参公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管理工作人员养老保险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(三)掌握新型农村社会养老保险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(四)城镇居民社会养老保险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三、医疗保险法律制度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)掌握城镇职工基本医疗保险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(二)掌握新型农村合作医疗保险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(三)掌握城镇居民医疗保险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四、工伤保险法律制度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)了解工伤保险内容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(二)掌握工伤保险的基本规则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五、失业保险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)了解失业保险内容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(二)掌握失业保险的基本规则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六、生育保险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)了解生育保险内容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(二)掌握生育保险的一般规则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第十七章 民事诉讼法律制度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一、民事诉讼法基础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)了解民事诉讼及民事诉讼法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(二)掌握民事诉讼法的基本原则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二、民事诉讼受案范围和管辖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)了解法院受理民事案件的范围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(二)掌握民事诉讼管辖的种类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三、民事诉讼参加人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)熟悉民事诉讼当事人的特征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(二)掌握共同诉讼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(三)熟悉代表人诉讼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(四)熟悉民事公益诉讼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(五)掌握第三人诉讼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(六)掌握诉讼代理人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四、民事诉讼证据和证明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)熟悉民事诉讼证据的种类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(二)掌握民事诉讼证明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五、民事诉讼程序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)掌握民事诉讼的起诉和受理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(二)掌握民事诉讼第一审程序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(三)掌握民事诉讼第二审程序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(四)熟悉民事诉讼再审程序</w:t>
      </w:r>
    </w:p>
    <w:p w:rsidR="004023E1" w:rsidRDefault="004023E1" w:rsidP="004023E1">
      <w:pPr>
        <w:widowControl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第三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篇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刑事监察法律制度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lastRenderedPageBreak/>
        <w:t>第十八章 刑事法律制度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一、刑法基础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)了解刑法解释和效力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(二)熟悉刑法基本原则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(三)熟悉追诉时效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二、犯罪构成与犯罪形态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)熟悉犯罪构成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(二)了解犯罪形态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三、刑罚种类与刑罚适用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)熟悉刑罚种类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(二)了解量刑原则和量刑情节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(三)掌握累犯、自首、立功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(四)掌握数罪并罚和缓刑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(五)掌握减刑和假释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四、危害税收征管犯罪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)掌握逃税罪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(二)了解抗税罪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(三)熟悉逃避追缴欠税罪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(四)熟悉骗取出口退税罪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(五)掌握虚开增值税专用发票或者虚开用于骗取出口退税、抵扣税款发票罪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(六)熟悉伪造、出售伪造的增值税专用发票罪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(七)了解非法出售增值税专用发票罪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(八)熟悉非法购买增值税专用发票或者购买伪造的增值税专用发票罪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(九)熟悉非法制造、出售非法制造的用于骗取出口退税、抵扣税款发票罪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(十)了解非法制造、出售非法制造的发票罪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(十一)了解非法出售用于骗取出口退税、抵扣税款发票罪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(十二)熟悉非法出售发票罪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(十三)掌握虚开发票罪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(十四)掌握持有伪造的发票罪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五、贿赂犯罪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)熟悉行贿罪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(二)熟悉受贿罪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(三)了解介绍贿赂罪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六、渎职罪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)熟悉徇私舞弊不移交刑事案件罪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(二)熟悉徇私舞弊不征、少征税款罪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(三)熟悉徇私舞弊发售发票、抵扣税款、出口退税罪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(四)了解违法提供出口退税凭证罪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第十九章 刑事诉讼法律制度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一、刑事诉讼法基础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)了解刑事诉讼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(二)掌握刑事诉讼当事人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(三)熟悉其他诉讼参与人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二、辩护与代理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)掌握辩护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(二)熟悉代理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三、强制措施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)熟悉拘传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(二)熟悉取保候审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(三)熟悉监视居住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(四)熟悉拘留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(五)熟悉逮捕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(六)了解强制措施的撤销、变更与解除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四、立案、侦查、提起公诉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)了解立案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(二)熟悉侦查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(三)熟悉提起公诉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五、刑事审判程序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)了解刑事审判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(二)掌握第一审程序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(三)熟悉第二审程序</w:t>
      </w:r>
    </w:p>
    <w:p w:rsidR="004023E1" w:rsidRDefault="004023E1" w:rsidP="004023E1">
      <w:pPr>
        <w:pStyle w:val="a5"/>
        <w:widowControl/>
        <w:spacing w:line="27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(四)熟悉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缺席审判</w:t>
      </w:r>
      <w:r>
        <w:rPr>
          <w:rFonts w:ascii="仿宋" w:eastAsia="仿宋" w:hAnsi="仿宋" w:cs="仿宋" w:hint="eastAsia"/>
          <w:sz w:val="30"/>
          <w:szCs w:val="30"/>
        </w:rPr>
        <w:t>程序</w:t>
      </w:r>
    </w:p>
    <w:p w:rsidR="004023E1" w:rsidRDefault="004023E1" w:rsidP="004023E1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第二十章 监察法律制度</w:t>
      </w:r>
    </w:p>
    <w:p w:rsidR="004023E1" w:rsidRDefault="004023E1" w:rsidP="004023E1">
      <w:pPr>
        <w:widowControl/>
        <w:ind w:firstLine="588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一、监察法基础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)了解监察及监察法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(二)了解监察法与相关法律的关系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二、监察机关和监察范围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)掌握监察机关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(二)掌握监察范围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三、监察权限及监察程序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)掌握监察权限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(二)熟悉监察程序</w:t>
      </w:r>
    </w:p>
    <w:p w:rsidR="004023E1" w:rsidRDefault="004023E1" w:rsidP="004023E1">
      <w:pPr>
        <w:widowControl/>
        <w:ind w:firstLine="59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(三)了解监察保障</w:t>
      </w:r>
    </w:p>
    <w:p w:rsidR="004023E1" w:rsidRDefault="004023E1" w:rsidP="004023E1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四、熟悉对监察机关和监察人员的监督</w:t>
      </w: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023E1" w:rsidRDefault="004023E1" w:rsidP="004023E1">
      <w:pPr>
        <w:widowControl/>
        <w:ind w:firstLine="419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764D3D" w:rsidRPr="004023E1" w:rsidRDefault="00D75105"/>
    <w:sectPr w:rsidR="00764D3D" w:rsidRPr="004023E1" w:rsidSect="004023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05" w:rsidRDefault="00D75105" w:rsidP="004023E1">
      <w:r>
        <w:separator/>
      </w:r>
    </w:p>
  </w:endnote>
  <w:endnote w:type="continuationSeparator" w:id="0">
    <w:p w:rsidR="00D75105" w:rsidRDefault="00D75105" w:rsidP="0040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05" w:rsidRDefault="00D75105" w:rsidP="004023E1">
      <w:r>
        <w:separator/>
      </w:r>
    </w:p>
  </w:footnote>
  <w:footnote w:type="continuationSeparator" w:id="0">
    <w:p w:rsidR="00D75105" w:rsidRDefault="00D75105" w:rsidP="0040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6"/>
    <w:rsid w:val="004023E1"/>
    <w:rsid w:val="007169AB"/>
    <w:rsid w:val="00A26A29"/>
    <w:rsid w:val="00A63686"/>
    <w:rsid w:val="00D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3E1"/>
    <w:rPr>
      <w:sz w:val="18"/>
      <w:szCs w:val="18"/>
    </w:rPr>
  </w:style>
  <w:style w:type="paragraph" w:styleId="a5">
    <w:name w:val="Normal (Web)"/>
    <w:basedOn w:val="a"/>
    <w:rsid w:val="004023E1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3E1"/>
    <w:rPr>
      <w:sz w:val="18"/>
      <w:szCs w:val="18"/>
    </w:rPr>
  </w:style>
  <w:style w:type="paragraph" w:styleId="a5">
    <w:name w:val="Normal (Web)"/>
    <w:basedOn w:val="a"/>
    <w:rsid w:val="004023E1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2019-07-10T08:21:00Z</dcterms:created>
  <dcterms:modified xsi:type="dcterms:W3CDTF">2019-07-10T08:22:00Z</dcterms:modified>
</cp:coreProperties>
</file>